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8DE11" w14:textId="1190EBFB" w:rsidR="00A46D8F" w:rsidRPr="00762DCA" w:rsidRDefault="00A46D8F" w:rsidP="00A46D8F">
      <w:pPr>
        <w:spacing w:after="0" w:line="259" w:lineRule="auto"/>
        <w:ind w:left="132" w:right="0" w:firstLine="0"/>
        <w:jc w:val="right"/>
        <w:rPr>
          <w:b/>
          <w:color w:val="auto"/>
        </w:rPr>
      </w:pPr>
      <w:r w:rsidRPr="00762DCA">
        <w:rPr>
          <w:b/>
          <w:color w:val="auto"/>
        </w:rPr>
        <w:t>V.</w:t>
      </w:r>
    </w:p>
    <w:p w14:paraId="05C213DC" w14:textId="77777777" w:rsidR="00A46D8F" w:rsidRPr="00A46D8F" w:rsidRDefault="00A46D8F" w:rsidP="00A46D8F">
      <w:pPr>
        <w:spacing w:after="0" w:line="259" w:lineRule="auto"/>
        <w:ind w:left="132" w:right="0" w:firstLine="0"/>
        <w:jc w:val="right"/>
        <w:rPr>
          <w:bCs/>
          <w:color w:val="4F868E"/>
        </w:rPr>
      </w:pPr>
    </w:p>
    <w:p w14:paraId="7C12519B" w14:textId="61C4EE5A" w:rsidR="006C4B01" w:rsidRDefault="005237DA" w:rsidP="00DA79FD">
      <w:pPr>
        <w:spacing w:after="0" w:line="259" w:lineRule="auto"/>
        <w:ind w:left="132" w:right="0" w:firstLine="0"/>
        <w:jc w:val="center"/>
      </w:pPr>
      <w:r>
        <w:rPr>
          <w:b/>
          <w:color w:val="4F868E"/>
          <w:sz w:val="28"/>
        </w:rPr>
        <w:t>VZOROVÝ</w:t>
      </w:r>
      <w:r>
        <w:rPr>
          <w:b/>
          <w:color w:val="4F868E"/>
        </w:rPr>
        <w:t xml:space="preserve"> </w:t>
      </w:r>
      <w:r>
        <w:rPr>
          <w:b/>
          <w:color w:val="4F868E"/>
          <w:sz w:val="28"/>
        </w:rPr>
        <w:t>STATUT</w:t>
      </w:r>
      <w:r>
        <w:rPr>
          <w:b/>
          <w:color w:val="4F868E"/>
        </w:rPr>
        <w:t xml:space="preserve"> </w:t>
      </w:r>
      <w:r>
        <w:rPr>
          <w:b/>
          <w:color w:val="4F868E"/>
          <w:sz w:val="28"/>
        </w:rPr>
        <w:t>A</w:t>
      </w:r>
      <w:r>
        <w:rPr>
          <w:b/>
          <w:color w:val="4F868E"/>
        </w:rPr>
        <w:t xml:space="preserve"> </w:t>
      </w:r>
      <w:r>
        <w:rPr>
          <w:b/>
          <w:color w:val="4F868E"/>
          <w:sz w:val="28"/>
        </w:rPr>
        <w:t>JEDNACÍ</w:t>
      </w:r>
      <w:r>
        <w:rPr>
          <w:b/>
          <w:color w:val="4F868E"/>
        </w:rPr>
        <w:t xml:space="preserve"> </w:t>
      </w:r>
      <w:r>
        <w:rPr>
          <w:b/>
          <w:color w:val="4F868E"/>
          <w:sz w:val="28"/>
        </w:rPr>
        <w:t>ŘÁD</w:t>
      </w:r>
      <w:r>
        <w:rPr>
          <w:b/>
          <w:color w:val="4F868E"/>
        </w:rPr>
        <w:t xml:space="preserve"> </w:t>
      </w:r>
      <w:r w:rsidR="00DA79FD">
        <w:rPr>
          <w:b/>
          <w:color w:val="4F868E"/>
          <w:sz w:val="28"/>
        </w:rPr>
        <w:t xml:space="preserve">ODBORNÉHO PORADNÍHO ORGÁNU </w:t>
      </w:r>
      <w:r w:rsidR="007D7C24">
        <w:rPr>
          <w:b/>
          <w:color w:val="4F868E"/>
          <w:sz w:val="28"/>
        </w:rPr>
        <w:br/>
      </w:r>
      <w:r w:rsidR="00DA79FD">
        <w:rPr>
          <w:b/>
          <w:color w:val="4F868E"/>
          <w:sz w:val="28"/>
        </w:rPr>
        <w:t>PRO HODNOCENÍ VÝZKUMNÝCH ORGANIZACÍ V SEGMENTU VYSOKÝCH ŠKOL</w:t>
      </w:r>
    </w:p>
    <w:p w14:paraId="65D1971A" w14:textId="2EB92640" w:rsidR="006C4B01" w:rsidRDefault="006C4B01">
      <w:pPr>
        <w:spacing w:after="37" w:line="259" w:lineRule="auto"/>
        <w:ind w:left="0" w:right="15" w:firstLine="0"/>
        <w:jc w:val="center"/>
      </w:pPr>
    </w:p>
    <w:p w14:paraId="439D33AD" w14:textId="77777777" w:rsidR="006C4B01" w:rsidRDefault="005237DA">
      <w:pPr>
        <w:pStyle w:val="Nadpis1"/>
      </w:pPr>
      <w:r>
        <w:t xml:space="preserve">ČÁST PRVNÍ </w:t>
      </w:r>
    </w:p>
    <w:p w14:paraId="00D43CC2" w14:textId="77777777" w:rsidR="006C4B01" w:rsidRDefault="005237DA">
      <w:pPr>
        <w:pStyle w:val="Nadpis2"/>
      </w:pPr>
      <w:r>
        <w:t xml:space="preserve">Úvodní ustanovení </w:t>
      </w:r>
    </w:p>
    <w:p w14:paraId="692B87D6" w14:textId="77777777" w:rsidR="006C4B01" w:rsidRDefault="005237DA">
      <w:pPr>
        <w:spacing w:after="17" w:line="259" w:lineRule="auto"/>
        <w:jc w:val="center"/>
      </w:pPr>
      <w:r>
        <w:t xml:space="preserve">Článek 1 </w:t>
      </w:r>
    </w:p>
    <w:p w14:paraId="1B0A6CE4" w14:textId="62B5243B" w:rsidR="00DA79FD" w:rsidRDefault="005237DA" w:rsidP="004F1915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2AC80C1" w14:textId="43E7B00F" w:rsidR="00DA79FD" w:rsidRDefault="003E6174" w:rsidP="00DA79FD">
      <w:pPr>
        <w:spacing w:after="19" w:line="259" w:lineRule="auto"/>
        <w:ind w:left="0" w:right="0" w:firstLine="0"/>
      </w:pPr>
      <w:r w:rsidRPr="003E6174">
        <w:t xml:space="preserve">Odborný poradní orgán se zřizuje za účelem </w:t>
      </w:r>
      <w:r w:rsidR="00F7786E">
        <w:t xml:space="preserve">sjednocení přístupu mezinárodních evaluačních panelů (dále jen „MEP“) k </w:t>
      </w:r>
      <w:r w:rsidRPr="003E6174">
        <w:t>hodnocení výzkumných organizací</w:t>
      </w:r>
      <w:r>
        <w:t xml:space="preserve"> v segmentu vysokých škol </w:t>
      </w:r>
      <w:r w:rsidRPr="003E6174">
        <w:t xml:space="preserve">podle Metodiky hodnocení výzkumných organizací </w:t>
      </w:r>
      <w:r w:rsidR="006B7E90">
        <w:t>schválené Vládou České republiky</w:t>
      </w:r>
      <w:r w:rsidRPr="003E6174">
        <w:t xml:space="preserve">, a podle Metodiky hodnocení výzkumných organizací </w:t>
      </w:r>
      <w:r w:rsidR="00F7786E">
        <w:t xml:space="preserve">v segmentu vysokých škol 2025+ </w:t>
      </w:r>
      <w:r w:rsidRPr="003E6174">
        <w:t>(dále jen „</w:t>
      </w:r>
      <w:r w:rsidR="00F7786E">
        <w:t>Metodika VŠ2025+</w:t>
      </w:r>
      <w:r w:rsidRPr="003E6174">
        <w:t>“).</w:t>
      </w:r>
    </w:p>
    <w:p w14:paraId="6A041256" w14:textId="77777777" w:rsidR="00F7786E" w:rsidRDefault="00F7786E" w:rsidP="00DA79FD">
      <w:pPr>
        <w:spacing w:after="19" w:line="259" w:lineRule="auto"/>
        <w:ind w:left="0" w:right="0" w:firstLine="0"/>
      </w:pPr>
    </w:p>
    <w:p w14:paraId="3A73E13E" w14:textId="43958DBE" w:rsidR="00F7786E" w:rsidRDefault="00F7786E" w:rsidP="00F7786E">
      <w:pPr>
        <w:pStyle w:val="Nadpis1"/>
      </w:pPr>
      <w:r>
        <w:t xml:space="preserve">ČÁST DRUHÁ </w:t>
      </w:r>
    </w:p>
    <w:p w14:paraId="0A94E749" w14:textId="2AED8BC0" w:rsidR="00F7786E" w:rsidRDefault="00F7786E" w:rsidP="00F7786E">
      <w:pPr>
        <w:pStyle w:val="Nadpis2"/>
      </w:pPr>
      <w:r>
        <w:t xml:space="preserve">Statut Odborného poradního orgánu </w:t>
      </w:r>
    </w:p>
    <w:p w14:paraId="0D79943E" w14:textId="507C5719" w:rsidR="00F7786E" w:rsidRDefault="00F7786E" w:rsidP="00F7786E">
      <w:pPr>
        <w:spacing w:after="17" w:line="259" w:lineRule="auto"/>
        <w:jc w:val="center"/>
      </w:pPr>
      <w:r>
        <w:t xml:space="preserve">Článek </w:t>
      </w:r>
      <w:r w:rsidR="003F0607">
        <w:t>2</w:t>
      </w:r>
      <w:r>
        <w:t xml:space="preserve"> </w:t>
      </w:r>
    </w:p>
    <w:p w14:paraId="74FEBF40" w14:textId="4BD591D4" w:rsidR="00F7786E" w:rsidRPr="00E2144E" w:rsidRDefault="003F0607" w:rsidP="003F0607">
      <w:pPr>
        <w:spacing w:after="19" w:line="259" w:lineRule="auto"/>
        <w:ind w:left="0" w:right="0" w:firstLine="0"/>
        <w:jc w:val="center"/>
        <w:rPr>
          <w:b/>
          <w:bCs/>
        </w:rPr>
      </w:pPr>
      <w:r w:rsidRPr="00E2144E">
        <w:rPr>
          <w:b/>
          <w:bCs/>
        </w:rPr>
        <w:t>Předmět činnosti Odborného poradního orgánu</w:t>
      </w:r>
    </w:p>
    <w:p w14:paraId="67E3E4EC" w14:textId="77777777" w:rsidR="003F0607" w:rsidRDefault="003F0607" w:rsidP="00DA79FD">
      <w:pPr>
        <w:spacing w:after="19" w:line="259" w:lineRule="auto"/>
        <w:ind w:left="0" w:right="0" w:firstLine="0"/>
      </w:pPr>
    </w:p>
    <w:p w14:paraId="5EA3C260" w14:textId="740FEF0B" w:rsidR="00F7786E" w:rsidRDefault="003F0607" w:rsidP="003F0607">
      <w:pPr>
        <w:pStyle w:val="Odstavecseseznamem"/>
        <w:numPr>
          <w:ilvl w:val="0"/>
          <w:numId w:val="11"/>
        </w:numPr>
        <w:spacing w:after="19" w:line="259" w:lineRule="auto"/>
        <w:ind w:left="426" w:right="0"/>
      </w:pPr>
      <w:r>
        <w:t xml:space="preserve">Odborný poradní orgán (dále též „OPO“) </w:t>
      </w:r>
      <w:r w:rsidR="009624A4">
        <w:t xml:space="preserve">je zodpovědný </w:t>
      </w:r>
      <w:r w:rsidR="000A359E">
        <w:t>za konzistentní aplikaci hodnoticích kritérií napříč MEP a vědními oblastmi dle členění FORD a za jednotnou interpretaci odborných otázek vznesených jednotlivými MEP.</w:t>
      </w:r>
    </w:p>
    <w:p w14:paraId="31B25FD9" w14:textId="6E5527CB" w:rsidR="003F0607" w:rsidRDefault="003F0607" w:rsidP="003F0607">
      <w:pPr>
        <w:pStyle w:val="Odstavecseseznamem"/>
        <w:numPr>
          <w:ilvl w:val="0"/>
          <w:numId w:val="11"/>
        </w:numPr>
        <w:spacing w:after="19" w:line="259" w:lineRule="auto"/>
        <w:ind w:left="426" w:right="0"/>
      </w:pPr>
      <w:r>
        <w:t xml:space="preserve">OPO plní funkci poradního a kontrolního orgánu, který dohlíží na správnost všech procesů a snaží se zprostředkovat porozumění mezi aktéry hodnocení. </w:t>
      </w:r>
    </w:p>
    <w:p w14:paraId="21B22B2B" w14:textId="2FA92393" w:rsidR="00444658" w:rsidRDefault="00444658" w:rsidP="003F0607">
      <w:pPr>
        <w:pStyle w:val="Odstavecseseznamem"/>
        <w:numPr>
          <w:ilvl w:val="0"/>
          <w:numId w:val="11"/>
        </w:numPr>
        <w:spacing w:after="19" w:line="259" w:lineRule="auto"/>
        <w:ind w:left="426" w:right="0"/>
      </w:pPr>
      <w:r>
        <w:t xml:space="preserve">OPO ve spolupráci se členy MEP v rámci společné diskuse konkretizuje kritéria kvality výzkumu v kontextu jednotlivých vědních oblastí a posuzuje význam konkrétních indikátorů pro hodnocení dané vědní oblasti. </w:t>
      </w:r>
    </w:p>
    <w:p w14:paraId="47A1A013" w14:textId="38B08A62" w:rsidR="003F0607" w:rsidRDefault="005E3CD1" w:rsidP="003F0607">
      <w:pPr>
        <w:pStyle w:val="Odstavecseseznamem"/>
        <w:numPr>
          <w:ilvl w:val="0"/>
          <w:numId w:val="11"/>
        </w:numPr>
        <w:spacing w:after="19" w:line="259" w:lineRule="auto"/>
        <w:ind w:left="426" w:right="0"/>
      </w:pPr>
      <w:r>
        <w:t xml:space="preserve">OPO slouží jako odvolací orgán v případě </w:t>
      </w:r>
      <w:r w:rsidR="003F0607">
        <w:t xml:space="preserve">pochybností o procesní správnosti </w:t>
      </w:r>
      <w:r>
        <w:t>náležitostí</w:t>
      </w:r>
      <w:r w:rsidR="003F0607">
        <w:t xml:space="preserve"> hodnocení</w:t>
      </w:r>
      <w:r>
        <w:t>. V takovém případě se na něj a</w:t>
      </w:r>
      <w:r w:rsidR="003F0607">
        <w:t xml:space="preserve">ktéři hodnocení </w:t>
      </w:r>
      <w:r>
        <w:t xml:space="preserve">mohou </w:t>
      </w:r>
      <w:r w:rsidR="003F0607">
        <w:t xml:space="preserve">obrátit a požádat jej o stanovisko. </w:t>
      </w:r>
    </w:p>
    <w:p w14:paraId="0CBA3FF6" w14:textId="66D4360F" w:rsidR="003F0607" w:rsidRDefault="005E3CD1" w:rsidP="005E3CD1">
      <w:pPr>
        <w:pStyle w:val="Odstavecseseznamem"/>
        <w:numPr>
          <w:ilvl w:val="0"/>
          <w:numId w:val="11"/>
        </w:numPr>
        <w:spacing w:after="19" w:line="259" w:lineRule="auto"/>
        <w:ind w:left="426" w:right="0"/>
      </w:pPr>
      <w:r>
        <w:t xml:space="preserve">OPO vydává doporučující stanovisko za účelem konsolidace </w:t>
      </w:r>
      <w:r w:rsidR="00833182">
        <w:t>hodnocení,</w:t>
      </w:r>
      <w:r>
        <w:t xml:space="preserve"> pokud hodnocení neodpovídá stanoveným kritériím nebo v případě, že kritéria hodnocení nejsou aplikována konzistentně. </w:t>
      </w:r>
    </w:p>
    <w:p w14:paraId="6EEBEF52" w14:textId="75240FC3" w:rsidR="005E3CD1" w:rsidRDefault="006E1D35" w:rsidP="00444658">
      <w:pPr>
        <w:pStyle w:val="Odstavecseseznamem"/>
        <w:numPr>
          <w:ilvl w:val="0"/>
          <w:numId w:val="11"/>
        </w:numPr>
        <w:spacing w:after="19" w:line="259" w:lineRule="auto"/>
        <w:ind w:left="426" w:right="0"/>
      </w:pPr>
      <w:r>
        <w:t xml:space="preserve">OPO se na vyžádání poskytovatele ad hoc vyjadřuje k otázkám, které vyvstanou v průběhu hodnocení. </w:t>
      </w:r>
    </w:p>
    <w:p w14:paraId="68CC9ED0" w14:textId="655C8DA8" w:rsidR="003F0607" w:rsidRDefault="00AB691F" w:rsidP="00AB691F">
      <w:pPr>
        <w:pStyle w:val="Odstavecseseznamem"/>
        <w:spacing w:after="19" w:line="259" w:lineRule="auto"/>
        <w:ind w:left="426" w:right="0" w:firstLine="0"/>
        <w:jc w:val="center"/>
      </w:pPr>
      <w:r>
        <w:br w:type="column"/>
      </w:r>
      <w:r w:rsidR="003F0607">
        <w:lastRenderedPageBreak/>
        <w:t>Článek 3</w:t>
      </w:r>
    </w:p>
    <w:p w14:paraId="0CF578AB" w14:textId="57F9814F" w:rsidR="003F0607" w:rsidRPr="00E2144E" w:rsidRDefault="003F0607" w:rsidP="003F0607">
      <w:pPr>
        <w:spacing w:after="19" w:line="259" w:lineRule="auto"/>
        <w:ind w:left="0" w:right="0" w:firstLine="0"/>
        <w:jc w:val="center"/>
        <w:rPr>
          <w:b/>
          <w:bCs/>
        </w:rPr>
      </w:pPr>
      <w:r w:rsidRPr="00E2144E">
        <w:rPr>
          <w:b/>
          <w:bCs/>
        </w:rPr>
        <w:t>Složení Odborného poradního orgánu</w:t>
      </w:r>
    </w:p>
    <w:p w14:paraId="16D2AD0B" w14:textId="77777777" w:rsidR="003F0607" w:rsidRDefault="003F0607" w:rsidP="003F0607">
      <w:pPr>
        <w:spacing w:after="19" w:line="259" w:lineRule="auto"/>
        <w:ind w:left="66" w:right="0" w:firstLine="0"/>
      </w:pPr>
    </w:p>
    <w:p w14:paraId="4E9C0FEF" w14:textId="5F261CB8" w:rsidR="008E7BCC" w:rsidRDefault="003F0607" w:rsidP="003F0607">
      <w:pPr>
        <w:pStyle w:val="Odstavecseseznamem"/>
        <w:numPr>
          <w:ilvl w:val="0"/>
          <w:numId w:val="12"/>
        </w:numPr>
        <w:spacing w:after="19" w:line="259" w:lineRule="auto"/>
        <w:ind w:right="0"/>
      </w:pPr>
      <w:r>
        <w:t>OPO je tvořen</w:t>
      </w:r>
      <w:r w:rsidR="00833182">
        <w:t xml:space="preserve"> zástupcem poskytovatele, zástupcem Rady pro výzkum, vývoj a inovace</w:t>
      </w:r>
      <w:r w:rsidR="008E7BCC">
        <w:t>,</w:t>
      </w:r>
      <w:r w:rsidR="00833182">
        <w:t xml:space="preserve"> zástupci reprezentace vysokých škol</w:t>
      </w:r>
      <w:r w:rsidR="00833182">
        <w:rPr>
          <w:rStyle w:val="Znakapoznpodarou"/>
        </w:rPr>
        <w:footnoteReference w:id="1"/>
      </w:r>
      <w:r w:rsidR="00833182">
        <w:t xml:space="preserve"> a</w:t>
      </w:r>
      <w:r>
        <w:t xml:space="preserve"> </w:t>
      </w:r>
      <w:r w:rsidR="008E7BCC">
        <w:t xml:space="preserve">dále </w:t>
      </w:r>
      <w:r w:rsidR="00833182">
        <w:t>tuzemskými a zahraničními odborníky</w:t>
      </w:r>
      <w:r w:rsidR="008E7BCC">
        <w:t xml:space="preserve"> na problematiku výzkumu, vývoje a inovací, a to takovým způsobem, aby byla minimálně vždy jedním </w:t>
      </w:r>
      <w:r w:rsidR="00254541">
        <w:t>odborníkem</w:t>
      </w:r>
      <w:r w:rsidR="008E7BCC">
        <w:t xml:space="preserve"> zastoupena každá oborová oblast FORD</w:t>
      </w:r>
      <w:r w:rsidR="00833182">
        <w:t xml:space="preserve">. </w:t>
      </w:r>
      <w:r w:rsidR="008E7BCC">
        <w:t>Tuzemští a zahraniční odborníci</w:t>
      </w:r>
      <w:r w:rsidR="00833182">
        <w:t xml:space="preserve"> jsou </w:t>
      </w:r>
      <w:r w:rsidR="008E7BCC">
        <w:t xml:space="preserve">vybíráni </w:t>
      </w:r>
      <w:r w:rsidR="00833182">
        <w:t xml:space="preserve">přednostně z řad předsedů nebo dalších hodnotících s předchozí zkušeností s hodnocením dle Metodiky 17+. </w:t>
      </w:r>
    </w:p>
    <w:p w14:paraId="277309BB" w14:textId="5C33E929" w:rsidR="003F0607" w:rsidRDefault="008E7BCC" w:rsidP="003F0607">
      <w:pPr>
        <w:pStyle w:val="Odstavecseseznamem"/>
        <w:numPr>
          <w:ilvl w:val="0"/>
          <w:numId w:val="12"/>
        </w:numPr>
        <w:spacing w:after="19" w:line="259" w:lineRule="auto"/>
        <w:ind w:right="0"/>
      </w:pPr>
      <w:r>
        <w:t xml:space="preserve">Členy OPO jmenuje a odvolává poskytovatel. </w:t>
      </w:r>
    </w:p>
    <w:p w14:paraId="63D9ABB4" w14:textId="33FAA1A5" w:rsidR="00833182" w:rsidRDefault="00833182" w:rsidP="003F0607">
      <w:pPr>
        <w:pStyle w:val="Odstavecseseznamem"/>
        <w:numPr>
          <w:ilvl w:val="0"/>
          <w:numId w:val="12"/>
        </w:numPr>
        <w:spacing w:after="19" w:line="259" w:lineRule="auto"/>
        <w:ind w:right="0"/>
      </w:pPr>
      <w:r>
        <w:t xml:space="preserve">Předsedou OPO </w:t>
      </w:r>
      <w:r w:rsidR="00217BB8">
        <w:t>je zástupce</w:t>
      </w:r>
      <w:r w:rsidR="003E3531">
        <w:t xml:space="preserve"> poskytovatele odpovědný za agendu hodnocení</w:t>
      </w:r>
      <w:r w:rsidR="00313C96">
        <w:t xml:space="preserve"> výzkumných organizací</w:t>
      </w:r>
      <w:r w:rsidR="003E3531">
        <w:t xml:space="preserve"> v segmentu vysokých škol</w:t>
      </w:r>
      <w:r>
        <w:t>.</w:t>
      </w:r>
    </w:p>
    <w:p w14:paraId="5C34DF35" w14:textId="0B94BB14" w:rsidR="00833182" w:rsidRDefault="00833182" w:rsidP="003F0607">
      <w:pPr>
        <w:pStyle w:val="Odstavecseseznamem"/>
        <w:numPr>
          <w:ilvl w:val="0"/>
          <w:numId w:val="12"/>
        </w:numPr>
        <w:spacing w:after="19" w:line="259" w:lineRule="auto"/>
        <w:ind w:right="0"/>
      </w:pPr>
      <w:r>
        <w:t xml:space="preserve">Tajemníkem OPO je zástupce poskytovatele. </w:t>
      </w:r>
    </w:p>
    <w:p w14:paraId="459A132B" w14:textId="405DEF2E" w:rsidR="00833182" w:rsidRDefault="00833182" w:rsidP="003F0607">
      <w:pPr>
        <w:pStyle w:val="Odstavecseseznamem"/>
        <w:numPr>
          <w:ilvl w:val="0"/>
          <w:numId w:val="12"/>
        </w:numPr>
        <w:spacing w:after="19" w:line="259" w:lineRule="auto"/>
        <w:ind w:right="0"/>
      </w:pPr>
      <w:r>
        <w:t xml:space="preserve">Při sestavování OPO se poskytovatel zasazuje o genderovou vyváženost s cílem dosáhnout alespoň 40% zastoupení žen, respektive mužů. </w:t>
      </w:r>
    </w:p>
    <w:p w14:paraId="66045B2E" w14:textId="77777777" w:rsidR="00D04C3F" w:rsidRDefault="00D04C3F" w:rsidP="00D04C3F">
      <w:pPr>
        <w:spacing w:after="19" w:line="259" w:lineRule="auto"/>
        <w:ind w:right="0"/>
      </w:pPr>
    </w:p>
    <w:p w14:paraId="1659CD74" w14:textId="498724C9" w:rsidR="00D04C3F" w:rsidRDefault="00D04C3F" w:rsidP="00D04C3F">
      <w:pPr>
        <w:spacing w:after="17" w:line="259" w:lineRule="auto"/>
        <w:jc w:val="center"/>
      </w:pPr>
      <w:r>
        <w:t xml:space="preserve">Článek 4 </w:t>
      </w:r>
    </w:p>
    <w:p w14:paraId="0E2B8D59" w14:textId="253AD2D8" w:rsidR="00D04C3F" w:rsidRPr="00E2144E" w:rsidRDefault="00D04C3F" w:rsidP="00D04C3F">
      <w:pPr>
        <w:spacing w:after="19" w:line="259" w:lineRule="auto"/>
        <w:ind w:left="0" w:right="0" w:firstLine="0"/>
        <w:jc w:val="center"/>
        <w:rPr>
          <w:b/>
          <w:bCs/>
        </w:rPr>
      </w:pPr>
      <w:r w:rsidRPr="00E2144E">
        <w:rPr>
          <w:b/>
          <w:bCs/>
        </w:rPr>
        <w:t>Práva a povinnosti Odborného poradního orgánu</w:t>
      </w:r>
    </w:p>
    <w:p w14:paraId="2583E600" w14:textId="77777777" w:rsidR="00D04C3F" w:rsidRDefault="00D04C3F" w:rsidP="00D04C3F">
      <w:pPr>
        <w:spacing w:after="19" w:line="259" w:lineRule="auto"/>
        <w:ind w:right="0"/>
      </w:pPr>
    </w:p>
    <w:p w14:paraId="03D5E77E" w14:textId="309CC5AC" w:rsidR="00D04C3F" w:rsidRDefault="00D04C3F" w:rsidP="00D04C3F">
      <w:pPr>
        <w:pStyle w:val="Odstavecseseznamem"/>
        <w:numPr>
          <w:ilvl w:val="0"/>
          <w:numId w:val="13"/>
        </w:numPr>
        <w:spacing w:after="19" w:line="259" w:lineRule="auto"/>
        <w:ind w:left="426" w:right="0"/>
      </w:pPr>
      <w:r>
        <w:t xml:space="preserve">Člen OPO je povinen provádět činnost v OPO osobně, nezávisle a svým jménem vyjadřovat svůj odborný názor. </w:t>
      </w:r>
    </w:p>
    <w:p w14:paraId="396D492B" w14:textId="2ECAAEFB" w:rsidR="00D04C3F" w:rsidRDefault="00D04C3F" w:rsidP="00D04C3F">
      <w:pPr>
        <w:pStyle w:val="Odstavecseseznamem"/>
        <w:numPr>
          <w:ilvl w:val="0"/>
          <w:numId w:val="13"/>
        </w:numPr>
        <w:spacing w:after="19" w:line="259" w:lineRule="auto"/>
        <w:ind w:left="426" w:right="0"/>
      </w:pPr>
      <w:r>
        <w:t>Členství v OPO je nezastupitelné.</w:t>
      </w:r>
    </w:p>
    <w:p w14:paraId="7DD1CEF1" w14:textId="0660A300" w:rsidR="00D04C3F" w:rsidRDefault="00D04C3F" w:rsidP="00D04C3F">
      <w:pPr>
        <w:pStyle w:val="Odstavecseseznamem"/>
        <w:numPr>
          <w:ilvl w:val="0"/>
          <w:numId w:val="13"/>
        </w:numPr>
        <w:spacing w:after="19" w:line="259" w:lineRule="auto"/>
        <w:ind w:left="426" w:right="0"/>
      </w:pPr>
      <w:r>
        <w:t xml:space="preserve">Člen nesmí být podjat ve vztahu k hodnoceným vysokým školám a nesmí mít osobní zájem na výsledku hodnocení. Člen OPO se nepodílí na hodnocení vysoké školy, vůči které by mohla podjatost existovat, tj. </w:t>
      </w:r>
      <w:r w:rsidR="001B1AE9">
        <w:t>zejména</w:t>
      </w:r>
      <w:r>
        <w:t xml:space="preserve"> vůči takové VŠ, na které má uzavřen pracovně-právní vztah. </w:t>
      </w:r>
    </w:p>
    <w:p w14:paraId="30312720" w14:textId="77777777" w:rsidR="00D04C3F" w:rsidRDefault="00D04C3F" w:rsidP="00D04C3F">
      <w:pPr>
        <w:pStyle w:val="Odstavecseseznamem"/>
        <w:numPr>
          <w:ilvl w:val="0"/>
          <w:numId w:val="13"/>
        </w:numPr>
        <w:spacing w:after="19" w:line="259" w:lineRule="auto"/>
        <w:ind w:left="426" w:right="0"/>
      </w:pPr>
      <w:r>
        <w:t xml:space="preserve">Člen OPO je povinen zachovávat mlčenlivost o všech skutečnostech, se kterými se seznámí v souvislosti se svým členstvím v OPO a neumožnit třetím osobám seznámit se s takto získanými údaji a informacemi. </w:t>
      </w:r>
    </w:p>
    <w:p w14:paraId="28A8F341" w14:textId="6521B03B" w:rsidR="00D04C3F" w:rsidRDefault="00D04C3F" w:rsidP="00D04C3F">
      <w:pPr>
        <w:pStyle w:val="Odstavecseseznamem"/>
        <w:numPr>
          <w:ilvl w:val="0"/>
          <w:numId w:val="13"/>
        </w:numPr>
        <w:spacing w:after="19" w:line="259" w:lineRule="auto"/>
        <w:ind w:left="426" w:right="0"/>
      </w:pPr>
      <w:r>
        <w:t>Členům OPO</w:t>
      </w:r>
      <w:r w:rsidR="003E3531">
        <w:t>, kteří nejsou zástupci Rady pro výzkum, vývoj a inovace</w:t>
      </w:r>
      <w:r w:rsidR="00217BB8">
        <w:t xml:space="preserve"> </w:t>
      </w:r>
      <w:r w:rsidR="00B06D2C">
        <w:t>nebo</w:t>
      </w:r>
      <w:r w:rsidR="003E3531">
        <w:t xml:space="preserve"> zástupci reprezentace vysokých škol</w:t>
      </w:r>
      <w:r w:rsidR="00B06D2C">
        <w:t>,</w:t>
      </w:r>
      <w:r>
        <w:t xml:space="preserve"> přísluší za činnost v OPO přiměřená odměna a náhrady cestovních výdajů. </w:t>
      </w:r>
      <w:r w:rsidR="00775293">
        <w:t>Poskytování odměn a náhrad se řídí vnitřním předpisem poskytovatele.</w:t>
      </w:r>
      <w:r w:rsidR="00A0386E">
        <w:t xml:space="preserve"> Odměna předsedy OPO a tajemníka OPO je upravena v rámci pracovně-právního vztahu </w:t>
      </w:r>
      <w:r w:rsidR="00217BB8">
        <w:t xml:space="preserve">těchto osob </w:t>
      </w:r>
      <w:r w:rsidR="00A0386E">
        <w:t>s poskytovatelem.</w:t>
      </w:r>
      <w:r w:rsidR="00775293">
        <w:t xml:space="preserve"> </w:t>
      </w:r>
    </w:p>
    <w:p w14:paraId="0BE7C61F" w14:textId="6A83D021" w:rsidR="006C5D7B" w:rsidRDefault="00B06D2C" w:rsidP="006C5D7B">
      <w:pPr>
        <w:pStyle w:val="Odstavecseseznamem"/>
        <w:numPr>
          <w:ilvl w:val="0"/>
          <w:numId w:val="13"/>
        </w:numPr>
        <w:spacing w:after="19" w:line="259" w:lineRule="auto"/>
        <w:ind w:left="66" w:right="0" w:firstLine="0"/>
      </w:pPr>
      <w:r>
        <w:t>OPO vydává</w:t>
      </w:r>
      <w:r w:rsidR="00C66B8C">
        <w:t xml:space="preserve"> doporučení k úpravě hodnocení, pakliže hodnocení neodpovídá stanoveným kritériím. Může rovněž doporučit MEP nebo poskytovateli přehodnocení uděleného hodnocení, ale nemá pravomoc toto direktivně vymáhat. </w:t>
      </w:r>
      <w:r>
        <w:t>OPO nevstupuje do hodnocení vysokých škol ani stanovení kvalitativních stupňů hodnocení.</w:t>
      </w:r>
    </w:p>
    <w:p w14:paraId="67FF4D39" w14:textId="5DD473E1" w:rsidR="006C5D7B" w:rsidRDefault="00E053EF" w:rsidP="006C5D7B">
      <w:pPr>
        <w:pStyle w:val="Nadpis1"/>
      </w:pPr>
      <w:r>
        <w:br w:type="column"/>
      </w:r>
      <w:r w:rsidR="006C5D7B">
        <w:lastRenderedPageBreak/>
        <w:t xml:space="preserve">ČÁST TŘETÍ </w:t>
      </w:r>
    </w:p>
    <w:p w14:paraId="48427D2A" w14:textId="1D9E5BB8" w:rsidR="006C5D7B" w:rsidRDefault="006C5D7B" w:rsidP="006C5D7B">
      <w:pPr>
        <w:pStyle w:val="Nadpis2"/>
      </w:pPr>
      <w:r>
        <w:t xml:space="preserve">Jednací řád Odborného poradního orgánu </w:t>
      </w:r>
    </w:p>
    <w:p w14:paraId="39C89EF5" w14:textId="06F88A8C" w:rsidR="006C5D7B" w:rsidRDefault="006C5D7B" w:rsidP="006C5D7B">
      <w:pPr>
        <w:spacing w:after="17" w:line="259" w:lineRule="auto"/>
        <w:jc w:val="center"/>
      </w:pPr>
      <w:r>
        <w:t xml:space="preserve">Článek 5 </w:t>
      </w:r>
    </w:p>
    <w:p w14:paraId="6086E9A7" w14:textId="027C74A8" w:rsidR="006C5D7B" w:rsidRPr="00E2144E" w:rsidRDefault="006C5D7B" w:rsidP="006C5D7B">
      <w:pPr>
        <w:spacing w:after="19" w:line="259" w:lineRule="auto"/>
        <w:ind w:left="0" w:right="0" w:firstLine="0"/>
        <w:jc w:val="center"/>
        <w:rPr>
          <w:b/>
          <w:bCs/>
        </w:rPr>
      </w:pPr>
      <w:r w:rsidRPr="00E2144E">
        <w:rPr>
          <w:b/>
          <w:bCs/>
        </w:rPr>
        <w:t>Příprava jednání Odborného poradního orgánu</w:t>
      </w:r>
    </w:p>
    <w:p w14:paraId="10C4C67C" w14:textId="77777777" w:rsidR="006C5D7B" w:rsidRDefault="006C5D7B" w:rsidP="006C5D7B">
      <w:pPr>
        <w:spacing w:after="19" w:line="259" w:lineRule="auto"/>
        <w:ind w:left="66" w:right="0" w:firstLine="0"/>
      </w:pPr>
    </w:p>
    <w:p w14:paraId="774D0E9B" w14:textId="0EA8DFFA" w:rsidR="006C5D7B" w:rsidRDefault="006C5D7B" w:rsidP="006C5D7B">
      <w:pPr>
        <w:pStyle w:val="Odstavecseseznamem"/>
        <w:numPr>
          <w:ilvl w:val="0"/>
          <w:numId w:val="14"/>
        </w:numPr>
        <w:spacing w:after="19" w:line="259" w:lineRule="auto"/>
        <w:ind w:right="0"/>
      </w:pPr>
      <w:r>
        <w:t xml:space="preserve">OPO jedná dle potřeby ve vazbě na harmonogram hodnocení v souladu s Metodikou VŠ2025+. </w:t>
      </w:r>
    </w:p>
    <w:p w14:paraId="00E9B5B7" w14:textId="067D9026" w:rsidR="006C5D7B" w:rsidRDefault="006C5D7B" w:rsidP="006C5D7B">
      <w:pPr>
        <w:pStyle w:val="Odstavecseseznamem"/>
        <w:numPr>
          <w:ilvl w:val="0"/>
          <w:numId w:val="14"/>
        </w:numPr>
        <w:spacing w:after="19" w:line="259" w:lineRule="auto"/>
        <w:ind w:right="0"/>
      </w:pPr>
      <w:r>
        <w:t>Jednání OPO svolává předseda</w:t>
      </w:r>
      <w:r w:rsidR="00F4767D">
        <w:t xml:space="preserve">, který řídí činnost OPO a řídí jednotlivá jednání. </w:t>
      </w:r>
    </w:p>
    <w:p w14:paraId="7BBE57CC" w14:textId="124317DA" w:rsidR="006C5D7B" w:rsidRDefault="00F4767D" w:rsidP="00FB6894">
      <w:pPr>
        <w:pStyle w:val="Odstavecseseznamem"/>
        <w:numPr>
          <w:ilvl w:val="0"/>
          <w:numId w:val="14"/>
        </w:numPr>
        <w:spacing w:after="19" w:line="259" w:lineRule="auto"/>
        <w:ind w:right="0"/>
      </w:pPr>
      <w:r>
        <w:t>Přípravu a distribuci podkladů pro jednání OPO a další organizační záležitosti zajišťuje tajemník OPO, který není členem OPO. Tajemník OPO je jmenován</w:t>
      </w:r>
      <w:r w:rsidR="00A0386E">
        <w:t xml:space="preserve"> poskytovatelem.</w:t>
      </w:r>
    </w:p>
    <w:p w14:paraId="6660E2DD" w14:textId="77777777" w:rsidR="00AB691F" w:rsidRDefault="00AB691F" w:rsidP="00AB691F">
      <w:pPr>
        <w:spacing w:after="19" w:line="259" w:lineRule="auto"/>
        <w:ind w:left="66" w:right="0" w:firstLine="0"/>
      </w:pPr>
    </w:p>
    <w:p w14:paraId="721BBA96" w14:textId="5C49A312" w:rsidR="00AB691F" w:rsidRDefault="00AB691F" w:rsidP="00AB691F">
      <w:pPr>
        <w:spacing w:after="17" w:line="259" w:lineRule="auto"/>
        <w:jc w:val="center"/>
      </w:pPr>
      <w:r>
        <w:t xml:space="preserve">Článek 6 </w:t>
      </w:r>
    </w:p>
    <w:p w14:paraId="2CD1F518" w14:textId="6B1EF023" w:rsidR="00AB691F" w:rsidRPr="00E2144E" w:rsidRDefault="00AB691F" w:rsidP="00AB691F">
      <w:pPr>
        <w:spacing w:after="19" w:line="259" w:lineRule="auto"/>
        <w:ind w:left="0" w:right="0" w:firstLine="0"/>
        <w:jc w:val="center"/>
        <w:rPr>
          <w:b/>
          <w:bCs/>
        </w:rPr>
      </w:pPr>
      <w:r>
        <w:rPr>
          <w:b/>
          <w:bCs/>
        </w:rPr>
        <w:t>Pravidla</w:t>
      </w:r>
      <w:r w:rsidRPr="00E2144E">
        <w:rPr>
          <w:b/>
          <w:bCs/>
        </w:rPr>
        <w:t xml:space="preserve"> jednání Odborného poradního orgánu</w:t>
      </w:r>
    </w:p>
    <w:p w14:paraId="432D356C" w14:textId="77777777" w:rsidR="00AB691F" w:rsidRDefault="00AB691F" w:rsidP="00AB691F">
      <w:pPr>
        <w:spacing w:after="19" w:line="259" w:lineRule="auto"/>
        <w:ind w:left="66" w:right="0" w:firstLine="0"/>
      </w:pPr>
    </w:p>
    <w:p w14:paraId="7F761D89" w14:textId="4C334FEF" w:rsidR="00313C96" w:rsidRDefault="00AB691F" w:rsidP="00AB691F">
      <w:pPr>
        <w:pStyle w:val="Odstavecseseznamem"/>
        <w:numPr>
          <w:ilvl w:val="0"/>
          <w:numId w:val="15"/>
        </w:numPr>
        <w:spacing w:after="19" w:line="259" w:lineRule="auto"/>
        <w:ind w:right="0"/>
      </w:pPr>
      <w:r>
        <w:t>Jednání OPO je neveřejné a mohou se jej účastnit pouze předseda</w:t>
      </w:r>
      <w:r w:rsidR="00B257E9">
        <w:t>,</w:t>
      </w:r>
      <w:r>
        <w:t xml:space="preserve"> členové</w:t>
      </w:r>
      <w:r w:rsidR="00B257E9">
        <w:t xml:space="preserve"> OPO a tajemník OPO</w:t>
      </w:r>
      <w:r>
        <w:t>, popř. předsedou určení hosté.</w:t>
      </w:r>
    </w:p>
    <w:p w14:paraId="3FD9E3EB" w14:textId="315C8663" w:rsidR="00C54AE0" w:rsidRDefault="00313C96" w:rsidP="00AB691F">
      <w:pPr>
        <w:pStyle w:val="Odstavecseseznamem"/>
        <w:numPr>
          <w:ilvl w:val="0"/>
          <w:numId w:val="15"/>
        </w:numPr>
        <w:spacing w:after="19" w:line="259" w:lineRule="auto"/>
        <w:ind w:right="0"/>
      </w:pPr>
      <w:r>
        <w:t xml:space="preserve">Jednání OPO probíhá zejména distančně (formou online videokonferencí nebo jiných vhodných způsobů distanční komunikace), prostřednictvím elektronické pošty (dále jen „per rollam“) nebo </w:t>
      </w:r>
      <w:r w:rsidR="00FE201A">
        <w:t>v</w:t>
      </w:r>
      <w:r w:rsidR="001B1AE9">
        <w:t xml:space="preserve"> odůvodněných</w:t>
      </w:r>
      <w:r w:rsidR="00FE201A">
        <w:t xml:space="preserve"> případech </w:t>
      </w:r>
      <w:r>
        <w:t>osobně.</w:t>
      </w:r>
    </w:p>
    <w:p w14:paraId="6A3C4740" w14:textId="62EC4E43" w:rsidR="00C54AE0" w:rsidRDefault="00C54AE0" w:rsidP="00C54AE0">
      <w:pPr>
        <w:numPr>
          <w:ilvl w:val="0"/>
          <w:numId w:val="15"/>
        </w:numPr>
        <w:ind w:right="0"/>
      </w:pPr>
      <w:r>
        <w:t xml:space="preserve">Osobní jednání </w:t>
      </w:r>
      <w:r w:rsidR="00B257E9">
        <w:t>OPO</w:t>
      </w:r>
      <w:r>
        <w:t xml:space="preserve"> svolává předseda prostřednictvím tajemníka alespoň 30 pracovních dní před plánovaným termínem osobního jednání.</w:t>
      </w:r>
    </w:p>
    <w:p w14:paraId="24321094" w14:textId="65BEE6CC" w:rsidR="00AB691F" w:rsidRDefault="00C54AE0" w:rsidP="00217BB8">
      <w:pPr>
        <w:numPr>
          <w:ilvl w:val="0"/>
          <w:numId w:val="15"/>
        </w:numPr>
        <w:ind w:right="0"/>
      </w:pPr>
      <w:r>
        <w:t xml:space="preserve">Distanční jednání </w:t>
      </w:r>
      <w:r w:rsidR="00B257E9">
        <w:t>OPO</w:t>
      </w:r>
      <w:r>
        <w:t xml:space="preserve"> svolává předseda prostřednictvím tajemníka alespoň 10 pracovních dní před plánovaným termínem osobního jednání, pokud se členové MEP předem nedohodnou jinak.</w:t>
      </w:r>
    </w:p>
    <w:p w14:paraId="33759600" w14:textId="114E4FCA" w:rsidR="00AB691F" w:rsidRDefault="00AB691F" w:rsidP="00AB691F">
      <w:pPr>
        <w:pStyle w:val="Odstavecseseznamem"/>
        <w:numPr>
          <w:ilvl w:val="0"/>
          <w:numId w:val="15"/>
        </w:numPr>
        <w:spacing w:after="19" w:line="259" w:lineRule="auto"/>
        <w:ind w:right="0"/>
      </w:pPr>
      <w:r>
        <w:t xml:space="preserve">Jednání řídí předseda, v jeho nepřítomnosti předsedou pověřený člen. </w:t>
      </w:r>
    </w:p>
    <w:p w14:paraId="3429546C" w14:textId="1014BF84" w:rsidR="00AB691F" w:rsidRDefault="00AB691F" w:rsidP="00AB691F">
      <w:pPr>
        <w:pStyle w:val="Odstavecseseznamem"/>
        <w:numPr>
          <w:ilvl w:val="0"/>
          <w:numId w:val="15"/>
        </w:numPr>
        <w:spacing w:after="19" w:line="259" w:lineRule="auto"/>
        <w:ind w:right="0"/>
      </w:pPr>
      <w:r>
        <w:t xml:space="preserve">OPO je usnášeníschopné, pokud je na jednání přítomna nadpoloviční většina jeho členů. </w:t>
      </w:r>
    </w:p>
    <w:p w14:paraId="3CF1572E" w14:textId="63F0C286" w:rsidR="00AB691F" w:rsidRDefault="00AB691F" w:rsidP="00AB691F">
      <w:pPr>
        <w:pStyle w:val="Odstavecseseznamem"/>
        <w:numPr>
          <w:ilvl w:val="0"/>
          <w:numId w:val="15"/>
        </w:numPr>
        <w:spacing w:after="19" w:line="259" w:lineRule="auto"/>
        <w:ind w:right="0"/>
      </w:pPr>
      <w:r>
        <w:t>OPO rozhoduje prostřednictvím hlasování. K přijetí usnesení je potřeba souhlasu nadpoloviční většiny členů. Při rovnosti hlasů rozhoduje hlas předsedy.</w:t>
      </w:r>
    </w:p>
    <w:p w14:paraId="0D7441D6" w14:textId="1225F6FC" w:rsidR="008E230F" w:rsidRDefault="008E230F" w:rsidP="00AB691F">
      <w:pPr>
        <w:pStyle w:val="Odstavecseseznamem"/>
        <w:numPr>
          <w:ilvl w:val="0"/>
          <w:numId w:val="15"/>
        </w:numPr>
        <w:spacing w:after="19" w:line="259" w:lineRule="auto"/>
        <w:ind w:right="0"/>
      </w:pPr>
      <w:r>
        <w:t xml:space="preserve">Z jednání OPO pořídí tajemník zápis, jehož součástí jsou výsledky hlasování a prezenční listina. </w:t>
      </w:r>
      <w:r w:rsidR="006642B8">
        <w:t xml:space="preserve">Zápis </w:t>
      </w:r>
      <w:r w:rsidR="00F21CC9">
        <w:t xml:space="preserve">svým podpisem </w:t>
      </w:r>
      <w:r w:rsidR="006642B8">
        <w:t>schvaluje předseda nebo osoba, která jednání na základě pověření předsedy OPO řídila. Zápis je následně</w:t>
      </w:r>
      <w:r w:rsidR="00F21CC9">
        <w:t xml:space="preserve"> rozeslán všem členům OPO a</w:t>
      </w:r>
      <w:r w:rsidR="006642B8">
        <w:t xml:space="preserve"> založen k archivaci.</w:t>
      </w:r>
    </w:p>
    <w:p w14:paraId="5DE7C135" w14:textId="0C8F152D" w:rsidR="00075F99" w:rsidRDefault="00AB691F" w:rsidP="00463980">
      <w:pPr>
        <w:pStyle w:val="Odstavecseseznamem"/>
        <w:numPr>
          <w:ilvl w:val="0"/>
          <w:numId w:val="15"/>
        </w:numPr>
        <w:spacing w:after="19" w:line="259" w:lineRule="auto"/>
        <w:ind w:right="0"/>
      </w:pPr>
      <w:r>
        <w:t xml:space="preserve">Pokud je OPO požádáno aktérem hodnocení o doporučující stanovisko mimo termín zasedání, může být stanovisko projednáno </w:t>
      </w:r>
      <w:r w:rsidRPr="00217BB8">
        <w:t>per rollam</w:t>
      </w:r>
      <w:r>
        <w:t xml:space="preserve">. O uskutečnění takového hlasování rozhoduje předseda OPO. </w:t>
      </w:r>
      <w:r w:rsidR="006642B8">
        <w:t xml:space="preserve">V případě jednání per rollam </w:t>
      </w:r>
      <w:r w:rsidR="00F22BC2">
        <w:t xml:space="preserve">bude </w:t>
      </w:r>
      <w:r w:rsidR="006642B8">
        <w:t>předsedou nebo jím pověřen</w:t>
      </w:r>
      <w:r w:rsidR="00A0386E">
        <w:t>ou osobou</w:t>
      </w:r>
      <w:r w:rsidR="006642B8">
        <w:t xml:space="preserve"> </w:t>
      </w:r>
      <w:r w:rsidR="00F22BC2">
        <w:t>rozeslán elektronickou poštou návrh stanoviska s uvedením termínu, ve kterém k němu členové OPO zašlou své vyjádření. Lhůta pro vyjádření je nejméně pět pracovních dní. Návrh je schválen, pakliže s ním vysloví souhlas nadpoloviční většina všech členů OPO.</w:t>
      </w:r>
    </w:p>
    <w:p w14:paraId="65F37B2F" w14:textId="3A6E5C2D" w:rsidR="0055720E" w:rsidRDefault="00E053EF" w:rsidP="0055720E">
      <w:pPr>
        <w:pStyle w:val="Nadpis1"/>
      </w:pPr>
      <w:r>
        <w:br w:type="column"/>
      </w:r>
      <w:r w:rsidR="0055720E">
        <w:t xml:space="preserve">ČÁST ČTVRTÁ </w:t>
      </w:r>
    </w:p>
    <w:p w14:paraId="781E00B7" w14:textId="2152CBDE" w:rsidR="00F07EEC" w:rsidRDefault="0055720E" w:rsidP="0055720E">
      <w:pPr>
        <w:pStyle w:val="Nadpis2"/>
      </w:pPr>
      <w:r>
        <w:t>Účinnost</w:t>
      </w:r>
    </w:p>
    <w:p w14:paraId="537887BD" w14:textId="247810E8" w:rsidR="0055720E" w:rsidRDefault="00923238" w:rsidP="00923238">
      <w:pPr>
        <w:spacing w:after="19" w:line="259" w:lineRule="auto"/>
        <w:ind w:left="66" w:right="0" w:firstLine="0"/>
        <w:jc w:val="center"/>
      </w:pPr>
      <w:r>
        <w:t>Článek 7</w:t>
      </w:r>
    </w:p>
    <w:p w14:paraId="41AFFAE7" w14:textId="77777777" w:rsidR="00923238" w:rsidRDefault="00923238" w:rsidP="00923238">
      <w:pPr>
        <w:spacing w:after="19" w:line="259" w:lineRule="auto"/>
        <w:ind w:left="66" w:right="0" w:firstLine="0"/>
      </w:pPr>
    </w:p>
    <w:p w14:paraId="3FE544EF" w14:textId="77777777" w:rsidR="00075F99" w:rsidRDefault="00075F99" w:rsidP="00923238">
      <w:pPr>
        <w:spacing w:after="19" w:line="259" w:lineRule="auto"/>
        <w:ind w:left="66" w:right="0" w:firstLine="0"/>
      </w:pPr>
    </w:p>
    <w:p w14:paraId="0973C44F" w14:textId="3688F9D6" w:rsidR="00923238" w:rsidRDefault="00923238" w:rsidP="00923238">
      <w:pPr>
        <w:spacing w:after="19" w:line="259" w:lineRule="auto"/>
        <w:ind w:left="66" w:right="0" w:firstLine="0"/>
      </w:pPr>
      <w:r>
        <w:t>Tento statut a jednací řád nabývá účinnosti dnem</w:t>
      </w:r>
    </w:p>
    <w:p w14:paraId="4F29CDD3" w14:textId="77777777" w:rsidR="00075F99" w:rsidRDefault="00075F99" w:rsidP="00923238">
      <w:pPr>
        <w:spacing w:after="19" w:line="259" w:lineRule="auto"/>
        <w:ind w:left="66" w:right="0" w:firstLine="0"/>
      </w:pPr>
    </w:p>
    <w:p w14:paraId="5045F9E9" w14:textId="1246A386" w:rsidR="00075F99" w:rsidRDefault="00075F99" w:rsidP="00075F99">
      <w:pPr>
        <w:spacing w:after="243"/>
        <w:ind w:left="-5" w:right="0"/>
      </w:pPr>
      <w:r>
        <w:t xml:space="preserve">V __________ dne __________               </w:t>
      </w:r>
      <w:r>
        <w:tab/>
      </w:r>
      <w:r>
        <w:tab/>
        <w:t xml:space="preserve">            podpis   _________________________</w:t>
      </w:r>
      <w:r>
        <w:rPr>
          <w:b/>
        </w:rPr>
        <w:t xml:space="preserve"> </w:t>
      </w:r>
    </w:p>
    <w:p w14:paraId="3C241BA9" w14:textId="7A575CEA" w:rsidR="00075F99" w:rsidRDefault="00075F99" w:rsidP="006B7E9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963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   </w:t>
      </w:r>
      <w:r>
        <w:rPr>
          <w:i/>
        </w:rPr>
        <w:t>(odpovědný zástupce poskytovatele)</w:t>
      </w:r>
    </w:p>
    <w:sectPr w:rsidR="00075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899" w:h="16841"/>
      <w:pgMar w:top="2134" w:right="1411" w:bottom="1416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2C965" w14:textId="77777777" w:rsidR="005237DA" w:rsidRDefault="005237DA">
      <w:pPr>
        <w:spacing w:after="0" w:line="240" w:lineRule="auto"/>
      </w:pPr>
      <w:r>
        <w:separator/>
      </w:r>
    </w:p>
  </w:endnote>
  <w:endnote w:type="continuationSeparator" w:id="0">
    <w:p w14:paraId="12DF2779" w14:textId="77777777" w:rsidR="005237DA" w:rsidRDefault="0052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9A15D" w14:textId="77777777" w:rsidR="006C4B01" w:rsidRDefault="005237DA">
    <w:pPr>
      <w:tabs>
        <w:tab w:val="center" w:pos="453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CE1A1" w14:textId="0EB94E45" w:rsidR="006C4B01" w:rsidRPr="006B7E90" w:rsidRDefault="00557912" w:rsidP="006B7E90">
    <w:pPr>
      <w:pStyle w:val="Zpat"/>
      <w:jc w:val="right"/>
      <w:rPr>
        <w:color w:val="87888A"/>
        <w:sz w:val="20"/>
        <w:szCs w:val="20"/>
      </w:rPr>
    </w:pPr>
    <w:r>
      <w:rPr>
        <w:sz w:val="20"/>
      </w:rPr>
      <w:tab/>
    </w:r>
    <w:r w:rsidRPr="00A93418">
      <w:rPr>
        <w:noProof/>
        <w:color w:val="87888A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EFB8C5" wp14:editId="08905ADA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FFBAA3" id="Přímá spojnice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Pr="00A93418">
      <w:rPr>
        <w:color w:val="87888A"/>
        <w:sz w:val="20"/>
      </w:rPr>
      <w:t xml:space="preserve">STATUT A JEDNACÍ ŘÁD </w:t>
    </w:r>
    <w:r>
      <w:rPr>
        <w:color w:val="87888A"/>
        <w:sz w:val="20"/>
      </w:rPr>
      <w:t>ODBORNÉHO PORADNÍHO ORGÁNU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6454C" w14:textId="77777777" w:rsidR="006C4B01" w:rsidRDefault="005237DA">
    <w:pPr>
      <w:tabs>
        <w:tab w:val="center" w:pos="453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D0B4D" w14:textId="77777777" w:rsidR="006C4B01" w:rsidRDefault="005237DA">
      <w:pPr>
        <w:spacing w:after="9" w:line="253" w:lineRule="auto"/>
        <w:ind w:left="0" w:right="0" w:firstLine="0"/>
      </w:pPr>
      <w:r>
        <w:separator/>
      </w:r>
    </w:p>
  </w:footnote>
  <w:footnote w:type="continuationSeparator" w:id="0">
    <w:p w14:paraId="0599607B" w14:textId="77777777" w:rsidR="006C4B01" w:rsidRDefault="005237DA">
      <w:pPr>
        <w:spacing w:after="9" w:line="253" w:lineRule="auto"/>
        <w:ind w:left="0" w:right="0" w:firstLine="0"/>
      </w:pPr>
      <w:r>
        <w:continuationSeparator/>
      </w:r>
    </w:p>
  </w:footnote>
  <w:footnote w:id="1">
    <w:p w14:paraId="2AC1F53C" w14:textId="5296FB17" w:rsidR="00833182" w:rsidRDefault="00833182">
      <w:pPr>
        <w:pStyle w:val="Textpoznpodarou"/>
      </w:pPr>
      <w:r>
        <w:rPr>
          <w:rStyle w:val="Znakapoznpodarou"/>
        </w:rPr>
        <w:footnoteRef/>
      </w:r>
      <w:r>
        <w:t xml:space="preserve"> Česká konference rektorů</w:t>
      </w:r>
      <w:r w:rsidR="007D7C24">
        <w:t xml:space="preserve"> (ČKR)</w:t>
      </w:r>
      <w:r>
        <w:t xml:space="preserve"> a Rada vysokých škol</w:t>
      </w:r>
      <w:r w:rsidR="007D7C24">
        <w:t xml:space="preserve"> (RVŠ).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E2ED" w14:textId="77777777" w:rsidR="006C4B01" w:rsidRDefault="005237DA">
    <w:pPr>
      <w:spacing w:after="0" w:line="259" w:lineRule="auto"/>
      <w:ind w:left="47" w:right="0" w:firstLine="0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2E982018" wp14:editId="1D13F45D">
          <wp:simplePos x="0" y="0"/>
          <wp:positionH relativeFrom="page">
            <wp:posOffset>3082925</wp:posOffset>
          </wp:positionH>
          <wp:positionV relativeFrom="page">
            <wp:posOffset>449580</wp:posOffset>
          </wp:positionV>
          <wp:extent cx="1389761" cy="69405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761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3907099" w14:textId="77777777" w:rsidR="006C4B01" w:rsidRDefault="005237D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36A5B" w14:textId="571AD590" w:rsidR="00A731D8" w:rsidRDefault="00CD5A99" w:rsidP="00CD5A99">
    <w:pPr>
      <w:pStyle w:val="Zhlav"/>
      <w:jc w:val="left"/>
    </w:pPr>
    <w:bookmarkStart w:id="0" w:name="_GoBack"/>
    <w:bookmarkEnd w:id="0"/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081FF26A" wp14:editId="4B82BAF1">
          <wp:simplePos x="0" y="0"/>
          <wp:positionH relativeFrom="column">
            <wp:posOffset>-3810</wp:posOffset>
          </wp:positionH>
          <wp:positionV relativeFrom="paragraph">
            <wp:posOffset>-182880</wp:posOffset>
          </wp:positionV>
          <wp:extent cx="876300" cy="838200"/>
          <wp:effectExtent l="0" t="0" r="0" b="0"/>
          <wp:wrapTight wrapText="bothSides">
            <wp:wrapPolygon edited="0">
              <wp:start x="0" y="0"/>
              <wp:lineTo x="0" y="21109"/>
              <wp:lineTo x="21130" y="21109"/>
              <wp:lineTo x="211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912" w:rsidRPr="0091283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51C64D0" wp14:editId="2B9A7051">
              <wp:simplePos x="0" y="0"/>
              <wp:positionH relativeFrom="page">
                <wp:posOffset>6268853</wp:posOffset>
              </wp:positionH>
              <wp:positionV relativeFrom="page">
                <wp:posOffset>537210</wp:posOffset>
              </wp:positionV>
              <wp:extent cx="559558" cy="345440"/>
              <wp:effectExtent l="0" t="0" r="0" b="0"/>
              <wp:wrapSquare wrapText="bothSides"/>
              <wp:docPr id="13806" name="Group 13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558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13807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80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BB73EF" w14:textId="77777777" w:rsidR="00557912" w:rsidRPr="00912831" w:rsidRDefault="00557912" w:rsidP="00557912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CD5A99" w:rsidRPr="00CD5A99">
                              <w:rPr>
                                <w:noProof/>
                                <w:sz w:val="21"/>
                              </w:rPr>
                              <w:t>1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809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7BF15" w14:textId="77777777" w:rsidR="00557912" w:rsidRPr="00912831" w:rsidRDefault="00557912" w:rsidP="00557912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51C64D0" id="Group 13806" o:spid="_x0000_s1026" style="position:absolute;left:0;text-align:left;margin-left:493.6pt;margin-top:42.3pt;width:44.05pt;height:27.2pt;z-index:251664384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93ajGAAAA3gAAAA8AAABkcnMvZG93bnJldi54bWxEj0FrwkAQhe+F/odlCl5EN1WwGl2liIJS&#10;L6a5eBuy0yQ0Oxt3V43/3i0Ivc3w3rzvzWLVmUZcyfnasoL3YQKCuLC65lJB/r0dTEH4gKyxsUwK&#10;7uRhtXx9WWCq7Y2PdM1CKWII+xQVVCG0qZS+qMigH9qWOGo/1hkMcXWl1A5vMdw0cpQkE2mw5kio&#10;sKV1RcVvdjERkn852h+of77orL/NKfDmNFOq99Z9zkEE6sK/+Xm907H+eJp8wN87cQa5f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X3dqMYAAADeAAAADwAAAAAAAAAAAAAA&#10;AACfAgAAZHJzL2Rvd25yZXYueG1sUEsFBgAAAAAEAAQA9wAAAJIDAAAAAA=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QCccA&#10;AADeAAAADwAAAGRycy9kb3ducmV2LnhtbESPQWvCQBCF74L/YZlCb7pphRJTVxGr6NGqoL0N2WkS&#10;mp0N2dWk/fXOoeBthvfmvW9mi97V6kZtqDwbeBknoIhzbysuDJyOm1EKKkRki7VnMvBLARbz4WCG&#10;mfUdf9LtEAslIRwyNFDG2GRah7wkh2HsG2LRvn3rMMraFtq22Em4q/VrkrxphxVLQ4kNrUrKfw5X&#10;Z2CbNsvLzv91Rb3+2p735+nHcRqNeX7ql++gIvXxYf6/3lnBn6SJ8Mo7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rkAnHAAAA3gAAAA8AAAAAAAAAAAAAAAAAmAIAAGRy&#10;cy9kb3ducmV2LnhtbFBLBQYAAAAABAAEAPUAAACMAwAAAAA=&#10;" filled="f" stroked="f">
                <v:textbox inset="0,0,0,0">
                  <w:txbxContent>
                    <w:p w14:paraId="50BB73EF" w14:textId="77777777" w:rsidR="00557912" w:rsidRPr="00912831" w:rsidRDefault="00557912" w:rsidP="00557912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CD5A99" w:rsidRPr="00CD5A99">
                        <w:rPr>
                          <w:noProof/>
                          <w:sz w:val="21"/>
                        </w:rPr>
                        <w:t>1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1ksUA&#10;AADeAAAADwAAAGRycy9kb3ducmV2LnhtbERPS2vCQBC+F/oflin0VjdtQZKYjUgf6LEaQb0N2TEJ&#10;ZmdDdmtSf31XELzNx/ecbD6aVpypd41lBa+TCARxaXXDlYJt8f0Sg3AeWWNrmRT8kYN5/viQYart&#10;wGs6b3wlQgi7FBXU3neplK6syaCb2I44cEfbG/QB9pXUPQ4h3LTyLYqm0mDDoaHGjj5qKk+bX6Ng&#10;GXeL/cpehqr9Oix3P7vks0i8Us9P42IGwtPo7+Kbe6XD/Pc4SuD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zWSxQAAAN4AAAAPAAAAAAAAAAAAAAAAAJgCAABkcnMv&#10;ZG93bnJldi54bWxQSwUGAAAAAAQABAD1AAAAigMAAAAA&#10;" filled="f" stroked="f">
                <v:textbox inset="0,0,0,0">
                  <w:txbxContent>
                    <w:p w14:paraId="4B57BF15" w14:textId="77777777" w:rsidR="00557912" w:rsidRPr="00912831" w:rsidRDefault="00557912" w:rsidP="00557912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0572" w14:textId="77777777" w:rsidR="006C4B01" w:rsidRDefault="005237DA">
    <w:pPr>
      <w:spacing w:after="0" w:line="259" w:lineRule="auto"/>
      <w:ind w:left="47" w:right="0" w:firstLine="0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64CC0EAD" wp14:editId="035BF4BE">
          <wp:simplePos x="0" y="0"/>
          <wp:positionH relativeFrom="page">
            <wp:posOffset>3082925</wp:posOffset>
          </wp:positionH>
          <wp:positionV relativeFrom="page">
            <wp:posOffset>449580</wp:posOffset>
          </wp:positionV>
          <wp:extent cx="1389761" cy="694055"/>
          <wp:effectExtent l="0" t="0" r="0" b="0"/>
          <wp:wrapSquare wrapText="bothSides"/>
          <wp:docPr id="80001190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761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6E64A4AD" w14:textId="77777777" w:rsidR="006C4B01" w:rsidRDefault="005237D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F0A"/>
    <w:multiLevelType w:val="hybridMultilevel"/>
    <w:tmpl w:val="DAAE02F0"/>
    <w:lvl w:ilvl="0" w:tplc="0CB0349E">
      <w:start w:val="1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A2D2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012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CD3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BB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C9D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861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BAD8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2665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1D05AA"/>
    <w:multiLevelType w:val="hybridMultilevel"/>
    <w:tmpl w:val="A3F43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1459"/>
    <w:multiLevelType w:val="hybridMultilevel"/>
    <w:tmpl w:val="B542346A"/>
    <w:lvl w:ilvl="0" w:tplc="3536C50A">
      <w:start w:val="1"/>
      <w:numFmt w:val="decimal"/>
      <w:lvlText w:val="(%1)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885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AFC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6C2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82E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E23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30DC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86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FC3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40C10"/>
    <w:multiLevelType w:val="hybridMultilevel"/>
    <w:tmpl w:val="D40A3EC8"/>
    <w:lvl w:ilvl="0" w:tplc="8FE269D0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A017D23"/>
    <w:multiLevelType w:val="hybridMultilevel"/>
    <w:tmpl w:val="D19830F6"/>
    <w:lvl w:ilvl="0" w:tplc="95648DBA">
      <w:start w:val="1"/>
      <w:numFmt w:val="decimal"/>
      <w:lvlText w:val="(%1)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6D6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E9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8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0FD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863D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66F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896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AC9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678B9"/>
    <w:multiLevelType w:val="hybridMultilevel"/>
    <w:tmpl w:val="3942140C"/>
    <w:lvl w:ilvl="0" w:tplc="AE60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F090D"/>
    <w:multiLevelType w:val="hybridMultilevel"/>
    <w:tmpl w:val="F482D57A"/>
    <w:lvl w:ilvl="0" w:tplc="FD08A6B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50D4DD3"/>
    <w:multiLevelType w:val="hybridMultilevel"/>
    <w:tmpl w:val="9D3CA5DE"/>
    <w:lvl w:ilvl="0" w:tplc="BB72BE9C">
      <w:start w:val="1"/>
      <w:numFmt w:val="decimal"/>
      <w:lvlText w:val="(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A06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09C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AEB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A4D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CD7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64F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057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04B1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0037B"/>
    <w:multiLevelType w:val="hybridMultilevel"/>
    <w:tmpl w:val="E1064316"/>
    <w:lvl w:ilvl="0" w:tplc="03B0D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C4752"/>
    <w:multiLevelType w:val="hybridMultilevel"/>
    <w:tmpl w:val="6EDAFBF6"/>
    <w:lvl w:ilvl="0" w:tplc="78503682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520F5828"/>
    <w:multiLevelType w:val="hybridMultilevel"/>
    <w:tmpl w:val="5FBE53BA"/>
    <w:lvl w:ilvl="0" w:tplc="7EF87BC6">
      <w:start w:val="1"/>
      <w:numFmt w:val="decimal"/>
      <w:lvlText w:val="(%1)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0B0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740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642D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7A70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AFB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742F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E89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C54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F32548"/>
    <w:multiLevelType w:val="hybridMultilevel"/>
    <w:tmpl w:val="2AC416AA"/>
    <w:lvl w:ilvl="0" w:tplc="C47AF560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62547A7D"/>
    <w:multiLevelType w:val="hybridMultilevel"/>
    <w:tmpl w:val="A5006F44"/>
    <w:lvl w:ilvl="0" w:tplc="F954C15A">
      <w:start w:val="1"/>
      <w:numFmt w:val="decimal"/>
      <w:lvlText w:val="(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62D5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E0D2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87672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62A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06B7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AA3F6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279B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C5DC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E72843"/>
    <w:multiLevelType w:val="hybridMultilevel"/>
    <w:tmpl w:val="BD7A7D90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1CD1133"/>
    <w:multiLevelType w:val="hybridMultilevel"/>
    <w:tmpl w:val="F8A686C2"/>
    <w:lvl w:ilvl="0" w:tplc="4DE4A620">
      <w:start w:val="1"/>
      <w:numFmt w:val="decimal"/>
      <w:lvlText w:val="(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4DD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069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6AC0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E6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0E7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08E4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ED9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A6B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3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01"/>
    <w:rsid w:val="0001779A"/>
    <w:rsid w:val="0006368F"/>
    <w:rsid w:val="00075F99"/>
    <w:rsid w:val="000A359E"/>
    <w:rsid w:val="00100A2F"/>
    <w:rsid w:val="00111E1A"/>
    <w:rsid w:val="001B1AE9"/>
    <w:rsid w:val="001D52D2"/>
    <w:rsid w:val="00217BB8"/>
    <w:rsid w:val="00231E25"/>
    <w:rsid w:val="00254541"/>
    <w:rsid w:val="00313C96"/>
    <w:rsid w:val="00364701"/>
    <w:rsid w:val="003744B8"/>
    <w:rsid w:val="003E3531"/>
    <w:rsid w:val="003E6174"/>
    <w:rsid w:val="003F0607"/>
    <w:rsid w:val="00444658"/>
    <w:rsid w:val="004611C6"/>
    <w:rsid w:val="00463980"/>
    <w:rsid w:val="004A2BC3"/>
    <w:rsid w:val="004B3622"/>
    <w:rsid w:val="004E5400"/>
    <w:rsid w:val="004F0A71"/>
    <w:rsid w:val="004F1915"/>
    <w:rsid w:val="005237DA"/>
    <w:rsid w:val="00546D70"/>
    <w:rsid w:val="0055720E"/>
    <w:rsid w:val="00557912"/>
    <w:rsid w:val="005E3CD1"/>
    <w:rsid w:val="00605898"/>
    <w:rsid w:val="0066356D"/>
    <w:rsid w:val="006642B8"/>
    <w:rsid w:val="006B7E90"/>
    <w:rsid w:val="006C4B01"/>
    <w:rsid w:val="006C5D7B"/>
    <w:rsid w:val="006E1D35"/>
    <w:rsid w:val="00707FFB"/>
    <w:rsid w:val="00762DCA"/>
    <w:rsid w:val="00775293"/>
    <w:rsid w:val="007D7C24"/>
    <w:rsid w:val="00810CFA"/>
    <w:rsid w:val="00833182"/>
    <w:rsid w:val="008820F6"/>
    <w:rsid w:val="008E230F"/>
    <w:rsid w:val="008E7BCC"/>
    <w:rsid w:val="00923238"/>
    <w:rsid w:val="00937834"/>
    <w:rsid w:val="009624A4"/>
    <w:rsid w:val="00A0386E"/>
    <w:rsid w:val="00A46D8F"/>
    <w:rsid w:val="00A731D8"/>
    <w:rsid w:val="00A81167"/>
    <w:rsid w:val="00AB691F"/>
    <w:rsid w:val="00B06D2C"/>
    <w:rsid w:val="00B257E9"/>
    <w:rsid w:val="00C54AE0"/>
    <w:rsid w:val="00C66B8C"/>
    <w:rsid w:val="00CD5A99"/>
    <w:rsid w:val="00D04C3F"/>
    <w:rsid w:val="00DA79FD"/>
    <w:rsid w:val="00E053EF"/>
    <w:rsid w:val="00E2144E"/>
    <w:rsid w:val="00E77717"/>
    <w:rsid w:val="00F07EEC"/>
    <w:rsid w:val="00F21CC9"/>
    <w:rsid w:val="00F22BC2"/>
    <w:rsid w:val="00F4767D"/>
    <w:rsid w:val="00F7786E"/>
    <w:rsid w:val="00F81AAB"/>
    <w:rsid w:val="00FB6894"/>
    <w:rsid w:val="00FE0ECF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3CD7"/>
  <w15:docId w15:val="{81BB2FBA-6E71-4B3D-A884-5994FE8F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0" w:line="248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"/>
      <w:ind w:left="10" w:right="5" w:hanging="10"/>
      <w:jc w:val="center"/>
      <w:outlineLvl w:val="1"/>
    </w:pPr>
    <w:rPr>
      <w:rFonts w:ascii="Calibri" w:eastAsia="Calibri" w:hAnsi="Calibri" w:cs="Calibri"/>
      <w:b/>
      <w:color w:val="80808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8"/>
      <w:ind w:left="10" w:right="5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80808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9" w:line="253" w:lineRule="auto"/>
      <w:jc w:val="both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Revize">
    <w:name w:val="Revision"/>
    <w:hidden/>
    <w:uiPriority w:val="99"/>
    <w:semiHidden/>
    <w:rsid w:val="003744B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0177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77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779A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7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79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64701"/>
    <w:pPr>
      <w:ind w:left="720"/>
      <w:contextualSpacing/>
    </w:pPr>
  </w:style>
  <w:style w:type="paragraph" w:customStyle="1" w:styleId="Default">
    <w:name w:val="Default"/>
    <w:rsid w:val="00DA79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18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182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3318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57912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557912"/>
    <w:rPr>
      <w:rFonts w:eastAsiaTheme="minorHAnsi"/>
      <w:kern w:val="0"/>
      <w:lang w:eastAsia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5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91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242D-2247-4828-816D-4F9BE63D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Iveta.Ptacnikova@msmt.cz</dc:creator>
  <cp:keywords/>
  <cp:lastModifiedBy>Valach Ivan - MO 1216 - ŠIS AČR</cp:lastModifiedBy>
  <cp:revision>6</cp:revision>
  <dcterms:created xsi:type="dcterms:W3CDTF">2024-06-11T14:40:00Z</dcterms:created>
  <dcterms:modified xsi:type="dcterms:W3CDTF">2024-11-28T09:45:00Z</dcterms:modified>
</cp:coreProperties>
</file>